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color w:val="2A9D8F"/>
          <w:sz w:val="28"/>
        </w:rPr>
        <w:t>────────────────────────────────────────</w:t>
      </w:r>
    </w:p>
    <w:p>
      <w:pPr>
        <w:spacing w:after="80"/>
        <w:jc w:val="center"/>
      </w:pPr>
      <w:r>
        <w:rPr>
          <w:rFonts w:ascii="Garamond" w:hAnsi="Garamond"/>
          <w:b/>
          <w:color w:val="1B2A4A"/>
          <w:sz w:val="52"/>
        </w:rPr>
        <w:t>LLM-Based Veterinary Radiology</w:t>
        <w:br/>
        <w:t>Report Classification</w:t>
      </w:r>
    </w:p>
    <w:p>
      <w:pPr>
        <w:spacing w:after="40"/>
        <w:jc w:val="center"/>
      </w:pPr>
      <w:r>
        <w:rPr>
          <w:rFonts w:ascii="Garamond" w:hAnsi="Garamond"/>
          <w:i/>
          <w:color w:val="6B7280"/>
          <w:sz w:val="26"/>
        </w:rPr>
        <w:t>A Multi-Model, Multi-Strategy Comparative Analysis</w:t>
      </w:r>
    </w:p>
    <w:p>
      <w:pPr>
        <w:jc w:val="center"/>
      </w:pPr>
      <w:r>
        <w:rPr>
          <w:color w:val="2A9D8F"/>
          <w:sz w:val="28"/>
        </w:rPr>
        <w:t>────────────────────────────────────────</w:t>
      </w:r>
    </w:p>
    <w:p/>
    <w:p>
      <w:pPr>
        <w:jc w:val="center"/>
      </w:pPr>
      <w:r>
        <w:rPr>
          <w:rFonts w:ascii="Garamond" w:hAnsi="Garamond"/>
          <w:color w:val="1B2A4A"/>
          <w:sz w:val="24"/>
        </w:rPr>
        <w:t>Project Report</w:t>
      </w:r>
    </w:p>
    <w:p>
      <w:pPr>
        <w:jc w:val="center"/>
      </w:pPr>
      <w:r>
        <w:rPr>
          <w:rFonts w:ascii="Garamond" w:hAnsi="Garamond"/>
          <w:color w:val="6B7280"/>
          <w:sz w:val="22"/>
        </w:rPr>
        <w:t>March 2026</w:t>
      </w:r>
    </w:p>
    <w:p>
      <w:r>
        <w:br w:type="page"/>
      </w:r>
    </w:p>
    <w:p>
      <w:pPr>
        <w:pStyle w:val="Heading1"/>
      </w:pPr>
      <w:r>
        <w:t>1. Executive Summary</w:t>
      </w:r>
    </w:p>
    <w:p>
      <w:r>
        <w:t>This report presents a Large Language Model (LLM) pipeline for automated classification of veterinary radiology reports. The system classifies radiologist-written reports as Normal or Abnormal across dozens of clinical conditions, enabling scalable data labeling for downstream model training.</w:t>
      </w:r>
    </w:p>
    <w:p>
      <w:r>
        <w:t>Two models were evaluated—OpenAI GPT-4o-mini and Google Gemini 2.5 Flash—across three prompting strategies (Full Prompt, Lean Prompt, and Two-Pass) on 200 manually labeled radiology reports spanning 51 conditions across canine thorax, canine abdomen, and feline thorax categories.</w:t>
      </w:r>
    </w:p>
    <w:p>
      <w:r>
        <w:rPr>
          <w:b/>
          <w:color w:val="2A9D8F"/>
        </w:rPr>
        <w:t xml:space="preserve">Bottom line: </w:t>
      </w:r>
      <w:r>
        <w:t>Gemini 2.5 Flash with Full Prompt achieved the highest average accuracy (98.3%), outperforming GPT-4o-mini (97.5%) at comparable cost ($0.068 vs $0.072 per run). The entire pipeline requires no custom NER models, no keyword dictionaries, and no negation detection logic—only structured prompts and API calls.</w:t>
      </w:r>
    </w:p>
    <w:p>
      <w:pPr>
        <w:pStyle w:val="Heading1"/>
      </w:pPr>
      <w:r>
        <w:t>2. System Overview</w:t>
      </w:r>
    </w:p>
    <w:p>
      <w:pPr>
        <w:pStyle w:val="Heading2"/>
      </w:pPr>
      <w:r>
        <w:t>2.1 Pipeline Architecture</w:t>
      </w:r>
    </w:p>
    <w:p>
      <w:r>
        <w:t>The pipeline sends each radiology report (FINDINGS + CONCLUSIONS) to an LLM along with condition definitions extracted from expert-labeled column headers. The model returns structured JSON classifications (Abnormal/Normal) for all conditions simultaneously in a single API call.</w:t>
      </w:r>
    </w:p>
    <w:p>
      <w:pPr>
        <w:pStyle w:val="ListBullet"/>
      </w:pPr>
      <w:r>
        <w:t>Config-driven design — prompts and settings in JSON; no code changes to tune.</w:t>
      </w:r>
    </w:p>
    <w:p>
      <w:pPr>
        <w:pStyle w:val="ListBullet"/>
      </w:pPr>
      <w:r>
        <w:t>Modular prompt assembly — base instructions + species context + cross-condition rules + disambiguation + edge-case overrides.</w:t>
      </w:r>
    </w:p>
    <w:p>
      <w:pPr>
        <w:pStyle w:val="ListBullet"/>
      </w:pPr>
      <w:r>
        <w:t>Async concurrent scoring — asyncio with semaphore rate-limiting (N=10) and exponential backoff.</w:t>
      </w:r>
    </w:p>
    <w:p>
      <w:pPr>
        <w:pStyle w:val="ListBullet"/>
      </w:pPr>
      <w:r>
        <w:t>Structured output — OpenAI JSON Schema (strict); Gemini response_mime_type="application/json".</w:t>
      </w:r>
    </w:p>
    <w:p>
      <w:pPr>
        <w:pStyle w:val="Heading2"/>
      </w:pPr>
      <w:r>
        <w:t>2.2 Prompting Strategies</w:t>
      </w:r>
    </w:p>
    <w:p>
      <w:r>
        <w:rPr>
          <w:b/>
          <w:color w:val="1B2A4A"/>
        </w:rPr>
        <w:t xml:space="preserve">Full Prompt:  </w:t>
      </w:r>
      <w:r>
        <w:t>All rule categories including edge-case overrides from iterative error analysis.</w:t>
      </w:r>
    </w:p>
    <w:p>
      <w:r>
        <w:rPr>
          <w:b/>
          <w:color w:val="1B2A4A"/>
        </w:rPr>
        <w:t xml:space="preserve">Lean Prompt:  </w:t>
      </w:r>
      <w:r>
        <w:t>Omits edge-case overrides; tests generalization without hand-tuned exceptions.</w:t>
      </w:r>
    </w:p>
    <w:p>
      <w:r>
        <w:rPr>
          <w:b/>
          <w:color w:val="1B2A4A"/>
        </w:rPr>
        <w:t xml:space="preserve">Two-Pass:  </w:t>
      </w:r>
      <w:r>
        <w:t>Pass 1 uses Lean Prompt with confidence scoring. Cases below 0.75 confidence are re-scored with Full Prompt in Pass 2.</w:t>
      </w:r>
    </w:p>
    <w:p>
      <w:pPr>
        <w:pStyle w:val="Heading1"/>
      </w:pPr>
      <w:r>
        <w:t>3. Models Evaluated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none" w:sz="0" w:space="0" w:color="auto"/>
          <w:bottom w:val="single" w:sz="4" w:space="0" w:color="D1D5DB"/>
          <w:right w:val="none" w:sz="0" w:space="0" w:color="auto"/>
          <w:insideH w:val="single" w:sz="4" w:space="0" w:color="E5E7EB"/>
          <w:insideV w:val="none" w:sz="0" w:space="0" w:color="auto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Property</w:t>
            </w:r>
          </w:p>
        </w:tc>
        <w:tc>
          <w:tcPr>
            <w:tcW w:type="dxa" w:w="288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GPT-4o-mini</w:t>
            </w:r>
          </w:p>
        </w:tc>
        <w:tc>
          <w:tcPr>
            <w:tcW w:type="dxa" w:w="288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Gemini 2.5 Flash</w:t>
            </w:r>
          </w:p>
        </w:tc>
      </w:tr>
      <w:tr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Provider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OpenAI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Google</w:t>
            </w:r>
          </w:p>
        </w:tc>
      </w:tr>
      <w:tr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Input Price (per 1M tokens)</w:t>
            </w:r>
          </w:p>
        </w:tc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$0.15</w:t>
            </w:r>
          </w:p>
        </w:tc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$0.15</w:t>
            </w:r>
          </w:p>
        </w:tc>
      </w:tr>
      <w:tr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Output Price (per 1M tokens)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$0.60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$0.60</w:t>
            </w:r>
          </w:p>
        </w:tc>
      </w:tr>
      <w:tr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Structured Output</w:t>
            </w:r>
          </w:p>
        </w:tc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JSON Schema (strict)</w:t>
            </w:r>
          </w:p>
        </w:tc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response_mime_type=json</w:t>
            </w:r>
          </w:p>
        </w:tc>
      </w:tr>
      <w:tr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Temperature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0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0</w:t>
            </w:r>
          </w:p>
        </w:tc>
      </w:tr>
    </w:tbl>
    <w:p>
      <w:pPr>
        <w:pStyle w:val="Heading1"/>
      </w:pPr>
      <w:r>
        <w:t>4. Validation Results</w:t>
      </w:r>
    </w:p>
    <w:p>
      <w:pPr>
        <w:pStyle w:val="Heading2"/>
      </w:pPr>
      <w:r>
        <w:t>4.1 Overall Accuracy</w:t>
      </w:r>
    </w:p>
    <w:p>
      <w:r>
        <w:t>Accuracy is the percentage of correct Abnormal/Normal classifications across all condition–report pairs, compared against radiologist ground-truth labels.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7816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ccuracy_heatm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7816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Garamond" w:hAnsi="Garamond"/>
          <w:i/>
          <w:color w:val="6B7280"/>
          <w:sz w:val="18"/>
        </w:rPr>
        <w:t>Figure 1.  Classification accuracy heatmap across all 18 configurations.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none" w:sz="0" w:space="0" w:color="auto"/>
          <w:bottom w:val="single" w:sz="4" w:space="0" w:color="D1D5DB"/>
          <w:right w:val="none" w:sz="0" w:space="0" w:color="auto"/>
          <w:insideH w:val="single" w:sz="4" w:space="0" w:color="E5E7EB"/>
          <w:insideV w:val="none" w:sz="0" w:space="0" w:color="auto"/>
        </w:tblBorders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Model</w:t>
            </w:r>
          </w:p>
        </w:tc>
        <w:tc>
          <w:tcPr>
            <w:tcW w:type="dxa" w:w="144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Approach</w:t>
            </w:r>
          </w:p>
        </w:tc>
        <w:tc>
          <w:tcPr>
            <w:tcW w:type="dxa" w:w="144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Canine Thorax</w:t>
            </w:r>
          </w:p>
        </w:tc>
        <w:tc>
          <w:tcPr>
            <w:tcW w:type="dxa" w:w="144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Canine Abdomen</w:t>
            </w:r>
          </w:p>
        </w:tc>
        <w:tc>
          <w:tcPr>
            <w:tcW w:type="dxa" w:w="144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Feline Thorax</w:t>
            </w:r>
          </w:p>
        </w:tc>
        <w:tc>
          <w:tcPr>
            <w:tcW w:type="dxa" w:w="144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Average</w:t>
            </w:r>
          </w:p>
        </w:tc>
      </w:tr>
      <w:tr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GPT-4o-mini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Full Prompt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95.9%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98.7%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97.8%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97.5%</w:t>
            </w:r>
          </w:p>
        </w:tc>
      </w:tr>
      <w:tr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GPT-4o-mini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Lean Prompt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95.3%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97.5%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96.5%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96.4%</w:t>
            </w:r>
          </w:p>
        </w:tc>
      </w:tr>
      <w:tr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GPT-4o-mini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Two-Pass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96.1%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98.4%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96.4%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97.0%</w:t>
            </w:r>
          </w:p>
        </w:tc>
      </w:tr>
      <w:tr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Gemini 2.5 Flash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Full Prompt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97.3%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99.2%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98.3%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98.3%</w:t>
            </w:r>
          </w:p>
        </w:tc>
      </w:tr>
      <w:tr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Gemini 2.5 Flash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Lean Prompt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98.4%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97.3%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97.8%</w:t>
            </w:r>
          </w:p>
        </w:tc>
        <w:tc>
          <w:tcPr>
            <w:tcW w:type="dxa" w:w="144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97.8%</w:t>
            </w:r>
          </w:p>
        </w:tc>
      </w:tr>
      <w:tr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Gemini 2.5 Flash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Two-Pass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97.8%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98.3%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98.0%</w:t>
            </w:r>
          </w:p>
        </w:tc>
        <w:tc>
          <w:tcPr>
            <w:tcW w:type="dxa" w:w="144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98.0%</w:t>
            </w:r>
          </w:p>
        </w:tc>
      </w:tr>
    </w:tbl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84446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ccuracy_by_approach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444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Garamond" w:hAnsi="Garamond"/>
          <w:i/>
          <w:color w:val="6B7280"/>
          <w:sz w:val="18"/>
        </w:rPr>
        <w:t>Figure 2.  Average accuracy by model and prompting strategy.</w:t>
      </w:r>
    </w:p>
    <w:p>
      <w:pPr>
        <w:pStyle w:val="Heading2"/>
      </w:pPr>
      <w:r>
        <w:t>4.2 Peak Performance per File Type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84446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ccuracy_by_filetyp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444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Garamond" w:hAnsi="Garamond"/>
          <w:i/>
          <w:color w:val="6B7280"/>
          <w:sz w:val="18"/>
        </w:rPr>
        <w:t>Figure 3.  Best accuracy achieved per file type across all approaches.</w:t>
      </w:r>
    </w:p>
    <w:p>
      <w:pPr>
        <w:pStyle w:val="Heading2"/>
      </w:pPr>
      <w:r>
        <w:t>4.3 Key Observations</w:t>
      </w:r>
    </w:p>
    <w:p>
      <w:pPr>
        <w:pStyle w:val="ListBullet"/>
      </w:pPr>
      <w:r>
        <w:t>Gemini 2.5 Flash outperformed GPT-4o-mini in 7 of 9 file-type/approach combinations.</w:t>
      </w:r>
    </w:p>
    <w:p>
      <w:pPr>
        <w:pStyle w:val="ListBullet"/>
      </w:pPr>
      <w:r>
        <w:t>Full Prompt was the best strategy for GPT-4o-mini on 2 of 3 file types, confirming that condition-specific edge-case rules help this model.</w:t>
      </w:r>
    </w:p>
    <w:p>
      <w:pPr>
        <w:pStyle w:val="ListBullet"/>
      </w:pPr>
      <w:r>
        <w:t>Gemini achieved its highest single-file accuracy (98.4%) with the Lean Prompt on Canine Thorax, suggesting stronger generalization.</w:t>
      </w:r>
    </w:p>
    <w:p>
      <w:pPr>
        <w:pStyle w:val="ListBullet"/>
      </w:pPr>
      <w:r>
        <w:t>Two-Pass did not consistently outperform Full Prompt for either model despite higher cost.</w:t>
      </w:r>
    </w:p>
    <w:p>
      <w:pPr>
        <w:pStyle w:val="ListBullet"/>
      </w:pPr>
      <w:r>
        <w:t>Canine Abdomen achieved the highest accuracy (97.3–99.2%) across all configs, likely due to fewer ambiguous conditions.</w:t>
      </w:r>
    </w:p>
    <w:p>
      <w:pPr>
        <w:pStyle w:val="ListBullet"/>
      </w:pPr>
      <w:r>
        <w:t>All configurations exceeded 95% accuracy, with the best reaching 99.2% on a single file type.</w:t>
      </w:r>
    </w:p>
    <w:p>
      <w:pPr>
        <w:pStyle w:val="Heading1"/>
      </w:pPr>
      <w:r>
        <w:t>5. Cost Analysis</w:t>
      </w:r>
    </w:p>
    <w:p>
      <w:pPr>
        <w:pStyle w:val="Heading2"/>
      </w:pPr>
      <w:r>
        <w:t>5.1 Per-Run Costs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none" w:sz="0" w:space="0" w:color="auto"/>
          <w:bottom w:val="single" w:sz="4" w:space="0" w:color="D1D5DB"/>
          <w:right w:val="none" w:sz="0" w:space="0" w:color="auto"/>
          <w:insideH w:val="single" w:sz="4" w:space="0" w:color="E5E7EB"/>
          <w:insideV w:val="none" w:sz="0" w:space="0" w:color="auto"/>
        </w:tblBorders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  <w:shd w:fill="264653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Model</w:t>
            </w:r>
          </w:p>
        </w:tc>
        <w:tc>
          <w:tcPr>
            <w:tcW w:type="dxa" w:w="1234"/>
            <w:shd w:fill="264653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Approach</w:t>
            </w:r>
          </w:p>
        </w:tc>
        <w:tc>
          <w:tcPr>
            <w:tcW w:type="dxa" w:w="1234"/>
            <w:shd w:fill="264653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Input Tokens</w:t>
            </w:r>
          </w:p>
        </w:tc>
        <w:tc>
          <w:tcPr>
            <w:tcW w:type="dxa" w:w="1234"/>
            <w:shd w:fill="264653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Output Tokens</w:t>
            </w:r>
          </w:p>
        </w:tc>
        <w:tc>
          <w:tcPr>
            <w:tcW w:type="dxa" w:w="1234"/>
            <w:shd w:fill="264653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Total</w:t>
            </w:r>
          </w:p>
        </w:tc>
        <w:tc>
          <w:tcPr>
            <w:tcW w:type="dxa" w:w="1234"/>
            <w:shd w:fill="264653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Cost (USD)</w:t>
            </w:r>
          </w:p>
        </w:tc>
        <w:tc>
          <w:tcPr>
            <w:tcW w:type="dxa" w:w="1234"/>
            <w:shd w:fill="264653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Per Report</w:t>
            </w:r>
          </w:p>
        </w:tc>
      </w:tr>
      <w:tr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GPT-4o-mini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Full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369,642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26,924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396,566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$0.0716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$0.00036</w:t>
            </w:r>
          </w:p>
        </w:tc>
      </w:tr>
      <w:tr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GPT-4o-mini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Lean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338,717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26,898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365,615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$0.0669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$0.00033</w:t>
            </w:r>
          </w:p>
        </w:tc>
      </w:tr>
      <w:tr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GPT-4o-mini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Two-Pass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453,249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76,006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529,255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$0.1136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$0.00057</w:t>
            </w:r>
          </w:p>
        </w:tc>
      </w:tr>
      <w:tr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Gemini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Full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289,397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40,149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329,546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$0.0675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$0.00034</w:t>
            </w:r>
          </w:p>
        </w:tc>
      </w:tr>
      <w:tr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Gemini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Lean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261,472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40,163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301,635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$0.0633</w:t>
            </w:r>
          </w:p>
        </w:tc>
        <w:tc>
          <w:tcPr>
            <w:tcW w:type="dxa" w:w="1234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$0.00032</w:t>
            </w:r>
          </w:p>
        </w:tc>
      </w:tr>
      <w:tr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Gemini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Two-Pass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447,855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152,728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600,583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$0.1588</w:t>
            </w:r>
          </w:p>
        </w:tc>
        <w:tc>
          <w:tcPr>
            <w:tcW w:type="dxa" w:w="1234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$0.00079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84446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st_compariso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444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Garamond" w:hAnsi="Garamond"/>
          <w:i/>
          <w:color w:val="6B7280"/>
          <w:sz w:val="18"/>
        </w:rPr>
        <w:t>Figure 4.  Total cost per 200-report run by model and strategy.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652154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oken_breakdown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6521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Garamond" w:hAnsi="Garamond"/>
          <w:i/>
          <w:color w:val="6B7280"/>
          <w:sz w:val="18"/>
        </w:rPr>
        <w:t>Figure 5.  Token usage breakdown (input vs. output) by configuration.</w:t>
      </w:r>
    </w:p>
    <w:p>
      <w:pPr>
        <w:pStyle w:val="Heading2"/>
      </w:pPr>
      <w:r>
        <w:t>5.2 Accuracy–Cost Tradeoff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210057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ccuracy_vs_cost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2100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Garamond" w:hAnsi="Garamond"/>
          <w:i/>
          <w:color w:val="6B7280"/>
          <w:sz w:val="18"/>
        </w:rPr>
        <w:t>Figure 6.  Accuracy vs. cost. Ideal position: upper-left (high accuracy, low cost).</w:t>
      </w:r>
    </w:p>
    <w:p>
      <w:r>
        <w:t>Gemini 2.5 Flash with Full Prompt occupies the optimal position: highest accuracy at the second-lowest cost. Two-Pass strategies cluster rightward (higher cost) without moving upward, indicating poor cost-effectiveness for this task.</w:t>
      </w:r>
    </w:p>
    <w:p>
      <w:pPr>
        <w:pStyle w:val="Heading2"/>
      </w:pPr>
      <w:r>
        <w:t>5.3 Production Cost Projection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none" w:sz="0" w:space="0" w:color="auto"/>
          <w:bottom w:val="single" w:sz="4" w:space="0" w:color="D1D5DB"/>
          <w:right w:val="none" w:sz="0" w:space="0" w:color="auto"/>
          <w:insideH w:val="single" w:sz="4" w:space="0" w:color="E5E7EB"/>
          <w:insideV w:val="none" w:sz="0" w:space="0" w:color="auto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2A9D8F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Scenario</w:t>
            </w:r>
          </w:p>
        </w:tc>
        <w:tc>
          <w:tcPr>
            <w:tcW w:type="dxa" w:w="2880"/>
            <w:shd w:fill="2A9D8F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Reports</w:t>
            </w:r>
          </w:p>
        </w:tc>
        <w:tc>
          <w:tcPr>
            <w:tcW w:type="dxa" w:w="2880"/>
            <w:shd w:fill="2A9D8F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Estimated Cost</w:t>
            </w:r>
          </w:p>
        </w:tc>
      </w:tr>
      <w:tr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Validation set (this study)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200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$0.07</w:t>
            </w:r>
          </w:p>
        </w:tc>
      </w:tr>
      <w:tr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Medium clinic network</w:t>
            </w:r>
          </w:p>
        </w:tc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10,000</w:t>
            </w:r>
          </w:p>
        </w:tc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$3.38</w:t>
            </w:r>
          </w:p>
        </w:tc>
      </w:tr>
      <w:tr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Large dataset (100K)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100,000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$33.80</w:t>
            </w:r>
          </w:p>
        </w:tc>
      </w:tr>
      <w:tr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Monthly new reports (est.)</w:t>
            </w:r>
          </w:p>
        </w:tc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1,000</w:t>
            </w:r>
          </w:p>
        </w:tc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$0.34</w:t>
            </w:r>
          </w:p>
        </w:tc>
      </w:tr>
    </w:tbl>
    <w:p/>
    <w:p>
      <w:r>
        <w:t>The total cost for the entire 6-configuration experiment was $0.54, demonstrating that systematic model evaluation is economically trivial at current LLM pricing. At scale, labeling 100,000 reports would cost approximately $34.</w:t>
      </w:r>
    </w:p>
    <w:p>
      <w:pPr>
        <w:pStyle w:val="Heading1"/>
      </w:pPr>
      <w:r>
        <w:t>6. Prompt Engineering Insights</w:t>
      </w:r>
    </w:p>
    <w:p>
      <w:pPr>
        <w:pStyle w:val="ListBullet"/>
      </w:pPr>
      <w:r>
        <w:t>Condition-specific rules are essential: generic prompts achieved only 88–92%; per-condition disambiguation improved accuracy to 95–99%.</w:t>
      </w:r>
    </w:p>
    <w:p>
      <w:pPr>
        <w:pStyle w:val="ListBullet"/>
      </w:pPr>
      <w:r>
        <w:t>FINDINGS vs CONCLUSIONS hierarchy matters: prioritizing observations over differentials resolved ~3% of misclassifications.</w:t>
      </w:r>
    </w:p>
    <w:p>
      <w:pPr>
        <w:pStyle w:val="ListBullet"/>
      </w:pPr>
      <w:r>
        <w:t>Edge-case rules have diminishing returns: the Lean Prompt was within 1–2% of Full Prompt for most conditions.</w:t>
      </w:r>
    </w:p>
    <w:p>
      <w:pPr>
        <w:pStyle w:val="ListBullet"/>
      </w:pPr>
      <w:r>
        <w:t>Cross-condition rules prevent systematic errors (e.g., bronchointerstitial → both bronchitis and interstitial).</w:t>
      </w:r>
    </w:p>
    <w:p>
      <w:pPr>
        <w:pStyle w:val="ListBullet"/>
      </w:pPr>
      <w:r>
        <w:t>Config-driven architecture enables rapid iteration: JSON-based prompts allow A/B testing without code changes.</w:t>
      </w:r>
    </w:p>
    <w:p>
      <w:pPr>
        <w:pStyle w:val="Heading1"/>
      </w:pPr>
      <w:r>
        <w:t>7. Remaining Challenges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none" w:sz="0" w:space="0" w:color="auto"/>
          <w:bottom w:val="single" w:sz="4" w:space="0" w:color="D1D5DB"/>
          <w:right w:val="none" w:sz="0" w:space="0" w:color="auto"/>
          <w:insideH w:val="single" w:sz="4" w:space="0" w:color="E5E7EB"/>
          <w:insideV w:val="none" w:sz="0" w:space="0" w:color="auto"/>
        </w:tblBorders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76F51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File Type</w:t>
            </w:r>
          </w:p>
        </w:tc>
        <w:tc>
          <w:tcPr>
            <w:tcW w:type="dxa" w:w="2160"/>
            <w:shd w:fill="E76F51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Condition</w:t>
            </w:r>
          </w:p>
        </w:tc>
        <w:tc>
          <w:tcPr>
            <w:tcW w:type="dxa" w:w="2160"/>
            <w:shd w:fill="E76F51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Issue</w:t>
            </w:r>
          </w:p>
        </w:tc>
        <w:tc>
          <w:tcPr>
            <w:tcW w:type="dxa" w:w="2160"/>
            <w:shd w:fill="E76F51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Root Cause</w:t>
            </w:r>
          </w:p>
        </w:tc>
      </w:tr>
      <w:tr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Canine Thorax</w:t>
            </w:r>
          </w:p>
        </w:tc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cardiomegaly</w:t>
            </w:r>
          </w:p>
        </w:tc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5–7 FPs</w:t>
            </w:r>
          </w:p>
        </w:tc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Overcalling on any cardiac mention</w:t>
            </w:r>
          </w:p>
        </w:tc>
      </w:tr>
      <w:tr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Canine Thorax</w:t>
            </w:r>
          </w:p>
        </w:tc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pulmonary_nodules</w:t>
            </w:r>
          </w:p>
        </w:tc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3 FNs (50%)</w:t>
            </w:r>
          </w:p>
        </w:tc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Subtle descriptions missed</w:t>
            </w:r>
          </w:p>
        </w:tc>
      </w:tr>
      <w:tr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Canine Thorax</w:t>
            </w:r>
          </w:p>
        </w:tc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pneumonia</w:t>
            </w:r>
          </w:p>
        </w:tc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0% sensitivity</w:t>
            </w:r>
          </w:p>
        </w:tc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1 case; model too conservative</w:t>
            </w:r>
          </w:p>
        </w:tc>
      </w:tr>
      <w:tr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Feline Thorax</w:t>
            </w:r>
          </w:p>
        </w:tc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focal_caudodorsal_lung</w:t>
            </w:r>
          </w:p>
        </w:tc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4 FNs (33%)</w:t>
            </w:r>
          </w:p>
        </w:tc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Inconsistent caudal mapping</w:t>
            </w:r>
          </w:p>
        </w:tc>
      </w:tr>
      <w:tr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Feline Thorax</w:t>
            </w:r>
          </w:p>
        </w:tc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left_sided_cardiomegaly</w:t>
            </w:r>
          </w:p>
        </w:tc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2 FNs (33%)</w:t>
            </w:r>
          </w:p>
        </w:tc>
        <w:tc>
          <w:tcPr>
            <w:tcW w:type="dxa" w:w="216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Subtle left-sided findings</w:t>
            </w:r>
          </w:p>
        </w:tc>
      </w:tr>
      <w:tr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Canine Abdomen</w:t>
            </w:r>
          </w:p>
        </w:tc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small_intestinal_obstruction</w:t>
            </w:r>
          </w:p>
        </w:tc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1 FN (83%)</w:t>
            </w:r>
          </w:p>
        </w:tc>
        <w:tc>
          <w:tcPr>
            <w:tcW w:type="dxa" w:w="216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Equivocal report language</w:t>
            </w:r>
          </w:p>
        </w:tc>
      </w:tr>
    </w:tbl>
    <w:p/>
    <w:p>
      <w:r>
        <w:t>These errors concentrate in conditions with very few ground-truth positives (1–6 cases), where a single misclassification produces large sensitivity drops.</w:t>
      </w:r>
    </w:p>
    <w:p>
      <w:pPr>
        <w:pStyle w:val="Heading1"/>
      </w:pPr>
      <w:r>
        <w:t>8. Key Risks</w:t>
      </w:r>
    </w:p>
    <w:p>
      <w:pPr>
        <w:pStyle w:val="ListBullet"/>
      </w:pPr>
      <w:r>
        <w:t>Small validation set (200 reports, 51 conditions) — low-prevalence conditions have wide confidence intervals.</w:t>
      </w:r>
    </w:p>
    <w:p>
      <w:pPr>
        <w:pStyle w:val="ListBullet"/>
      </w:pPr>
      <w:r>
        <w:t>Non-determinism — LLM output may vary between runs even at temperature=0 (observed &lt;0.5% variance).</w:t>
      </w:r>
    </w:p>
    <w:p>
      <w:pPr>
        <w:pStyle w:val="ListBullet"/>
      </w:pPr>
      <w:r>
        <w:t>Vendor dependency — API pricing/availability may change; multi-backend support mitigates this.</w:t>
      </w:r>
    </w:p>
    <w:p>
      <w:pPr>
        <w:pStyle w:val="ListBullet"/>
      </w:pPr>
      <w:r>
        <w:t>Prompt specificity — new conditions require prompt engineering, not just configuration.</w:t>
      </w:r>
    </w:p>
    <w:p>
      <w:pPr>
        <w:pStyle w:val="ListBullet"/>
      </w:pPr>
      <w:r>
        <w:t>No "Unsure" category — all cases receive definitive labels, potentially increasing FPs for ambiguous cases.</w:t>
      </w:r>
    </w:p>
    <w:p>
      <w:pPr>
        <w:pStyle w:val="Heading1"/>
      </w:pPr>
      <w:r>
        <w:t>9. Methodology</w:t>
      </w:r>
    </w:p>
    <w:p>
      <w:pPr>
        <w:pStyle w:val="Heading2"/>
      </w:pPr>
      <w:r>
        <w:t>9.1 Data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none" w:sz="0" w:space="0" w:color="auto"/>
          <w:bottom w:val="single" w:sz="4" w:space="0" w:color="D1D5DB"/>
          <w:right w:val="none" w:sz="0" w:space="0" w:color="auto"/>
          <w:insideH w:val="single" w:sz="4" w:space="0" w:color="E5E7EB"/>
          <w:insideV w:val="none" w:sz="0" w:space="0" w:color="auto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288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Reports</w:t>
            </w:r>
          </w:p>
        </w:tc>
        <w:tc>
          <w:tcPr>
            <w:tcW w:type="dxa" w:w="2880"/>
            <w:shd w:fill="1B2A4A"/>
          </w:tcPr>
          <w:p>
            <w:pPr>
              <w:jc w:val="center"/>
            </w:pPr>
            <w:r/>
            <w:r>
              <w:rPr>
                <w:rFonts w:ascii="Garamond" w:hAnsi="Garamond"/>
                <w:b/>
                <w:color w:val="FFFFFF"/>
                <w:sz w:val="18"/>
              </w:rPr>
              <w:t>Conditions</w:t>
            </w:r>
          </w:p>
        </w:tc>
      </w:tr>
      <w:tr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Canine Thorax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50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20</w:t>
            </w:r>
          </w:p>
        </w:tc>
      </w:tr>
      <w:tr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Canine Abdomen</w:t>
            </w:r>
          </w:p>
        </w:tc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75</w:t>
            </w:r>
          </w:p>
        </w:tc>
        <w:tc>
          <w:tcPr>
            <w:tcW w:type="dxa" w:w="2880"/>
            <w:shd w:fill="F3F4F6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10</w:t>
            </w:r>
          </w:p>
        </w:tc>
      </w:tr>
      <w:tr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Feline Thorax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75</w:t>
            </w:r>
          </w:p>
        </w:tc>
        <w:tc>
          <w:tcPr>
            <w:tcW w:type="dxa" w:w="2880"/>
            <w:shd w:fill="FFFFFF"/>
          </w:tcPr>
          <w:p>
            <w:pPr>
              <w:jc w:val="center"/>
            </w:pPr>
            <w:r/>
            <w:r>
              <w:rPr>
                <w:rFonts w:ascii="Garamond" w:hAnsi="Garamond"/>
                <w:color w:val="1F2A40"/>
                <w:sz w:val="18"/>
              </w:rPr>
              <w:t>21</w:t>
            </w:r>
          </w:p>
        </w:tc>
      </w:tr>
    </w:tbl>
    <w:p/>
    <w:p>
      <w:r>
        <w:t>All reports manually labeled by board-certified veterinary radiologists. Data provided by a veterinary AI company under a research agreement.</w:t>
      </w:r>
    </w:p>
    <w:p>
      <w:pPr>
        <w:pStyle w:val="Heading2"/>
      </w:pPr>
      <w:r>
        <w:t>9.2 Evaluation Metrics</w:t>
      </w:r>
    </w:p>
    <w:p>
      <w:r>
        <w:t>Per-condition: TP, FN, TN, FP, Sensitivity (TP/[TP+FN]), Specificity (TN/[TN+FP]). Overall accuracy: correct classifications / total condition–report pairs.</w:t>
      </w:r>
    </w:p>
    <w:p>
      <w:pPr>
        <w:pStyle w:val="Heading2"/>
      </w:pPr>
      <w:r>
        <w:t>9.3 Implementation</w:t>
      </w:r>
    </w:p>
    <w:p>
      <w:r>
        <w:t>Python with asyncio for concurrent API calls. OpenAI AsyncOpenAI client with JSON Schema strict mode; Google genai SDK with structured JSON output. Token usage tracked via response metadata. Full codebase version-controlled in Git.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Garamond" w:hAnsi="Garamond"/>
      <w:color w:val="1F2A4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160"/>
      <w:outlineLvl w:val="0"/>
    </w:pPr>
    <w:rPr>
      <w:rFonts w:asciiTheme="majorHAnsi" w:eastAsiaTheme="majorEastAsia" w:hAnsiTheme="majorHAnsi" w:cstheme="majorBidi" w:ascii="Garamond" w:hAnsi="Garamond"/>
      <w:b/>
      <w:bCs/>
      <w:color w:val="1B2A4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20" w:after="120"/>
      <w:outlineLvl w:val="1"/>
    </w:pPr>
    <w:rPr>
      <w:rFonts w:asciiTheme="majorHAnsi" w:eastAsiaTheme="majorEastAsia" w:hAnsiTheme="majorHAnsi" w:cstheme="majorBidi" w:ascii="Garamond" w:hAnsi="Garamond"/>
      <w:b/>
      <w:bCs/>
      <w:color w:val="1B2A4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aramond" w:hAnsi="Garamond"/>
      <w:b/>
      <w:bCs/>
      <w:color w:val="1B2A4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/>
      <w:contextualSpacing/>
    </w:pPr>
    <w:rPr>
      <w:rFonts w:ascii="Garamond" w:hAnsi="Garamond"/>
      <w:color w:val="1F2A40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